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A46DDF2"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w:t>
      </w:r>
      <w:r w:rsidR="004D24A1">
        <w:rPr>
          <w:bCs/>
          <w:sz w:val="24"/>
          <w:szCs w:val="24"/>
          <w:lang w:eastAsia="ja-JP"/>
        </w:rPr>
        <w:t>8</w:t>
      </w:r>
      <w:r w:rsidR="00F953D1">
        <w:rPr>
          <w:bCs/>
          <w:sz w:val="24"/>
          <w:szCs w:val="24"/>
          <w:lang w:eastAsia="ja-JP"/>
        </w:rPr>
        <w:t xml:space="preserve">                            </w:t>
      </w:r>
      <w:r w:rsidR="00196248">
        <w:rPr>
          <w:bCs/>
          <w:sz w:val="24"/>
          <w:szCs w:val="24"/>
          <w:lang w:eastAsia="ja-JP"/>
        </w:rPr>
        <w:t xml:space="preserve">                     </w:t>
      </w:r>
      <w:r w:rsidR="00F34C0A">
        <w:rPr>
          <w:bCs/>
          <w:sz w:val="24"/>
          <w:szCs w:val="24"/>
          <w:lang w:eastAsia="ja-JP"/>
        </w:rPr>
        <w:t xml:space="preserve">    </w:t>
      </w:r>
      <w:r w:rsidR="00854D3C" w:rsidRPr="00854D3C">
        <w:rPr>
          <w:bCs/>
          <w:sz w:val="24"/>
          <w:szCs w:val="24"/>
          <w:lang w:eastAsia="ja-JP"/>
        </w:rPr>
        <w:t>R2-19</w:t>
      </w:r>
      <w:r w:rsidR="00F34C0A">
        <w:rPr>
          <w:bCs/>
          <w:sz w:val="24"/>
          <w:szCs w:val="24"/>
          <w:lang w:eastAsia="ja-JP"/>
        </w:rPr>
        <w:t>14583</w:t>
      </w:r>
    </w:p>
    <w:p w14:paraId="29CDF947" w14:textId="15025831" w:rsidR="0047408E" w:rsidRDefault="004D24A1" w:rsidP="0047408E">
      <w:pPr>
        <w:pStyle w:val="Header"/>
        <w:tabs>
          <w:tab w:val="right" w:pos="9639"/>
        </w:tabs>
        <w:overflowPunct w:val="0"/>
        <w:autoSpaceDE w:val="0"/>
        <w:autoSpaceDN w:val="0"/>
        <w:adjustRightInd w:val="0"/>
        <w:textAlignment w:val="baseline"/>
        <w:rPr>
          <w:bCs/>
          <w:sz w:val="24"/>
          <w:szCs w:val="24"/>
          <w:lang w:eastAsia="ja-JP"/>
        </w:rPr>
      </w:pPr>
      <w:r>
        <w:rPr>
          <w:sz w:val="24"/>
          <w:szCs w:val="24"/>
        </w:rPr>
        <w:t>Reno</w:t>
      </w:r>
      <w:r w:rsidR="00363E1E">
        <w:rPr>
          <w:sz w:val="24"/>
          <w:szCs w:val="24"/>
        </w:rPr>
        <w:t xml:space="preserve">, </w:t>
      </w:r>
      <w:r>
        <w:rPr>
          <w:sz w:val="24"/>
          <w:szCs w:val="24"/>
        </w:rPr>
        <w:t>USA</w:t>
      </w:r>
      <w:r w:rsidR="00363E1E">
        <w:rPr>
          <w:b w:val="0"/>
          <w:sz w:val="24"/>
          <w:szCs w:val="24"/>
        </w:rPr>
        <w:t xml:space="preserve">, </w:t>
      </w:r>
      <w:r w:rsidR="00196248">
        <w:rPr>
          <w:sz w:val="24"/>
          <w:szCs w:val="24"/>
        </w:rPr>
        <w:t>1</w:t>
      </w:r>
      <w:r>
        <w:rPr>
          <w:sz w:val="24"/>
          <w:szCs w:val="24"/>
        </w:rPr>
        <w:t>8</w:t>
      </w:r>
      <w:r w:rsidR="00363E1E" w:rsidRPr="00A639C8">
        <w:rPr>
          <w:b w:val="0"/>
          <w:sz w:val="24"/>
          <w:szCs w:val="24"/>
          <w:vertAlign w:val="superscript"/>
        </w:rPr>
        <w:t>th</w:t>
      </w:r>
      <w:r w:rsidR="00363E1E">
        <w:rPr>
          <w:b w:val="0"/>
          <w:sz w:val="24"/>
          <w:szCs w:val="24"/>
        </w:rPr>
        <w:t xml:space="preserve"> </w:t>
      </w:r>
      <w:r>
        <w:rPr>
          <w:sz w:val="24"/>
          <w:szCs w:val="24"/>
        </w:rPr>
        <w:t>Nov</w:t>
      </w:r>
      <w:r w:rsidR="00363E1E">
        <w:rPr>
          <w:sz w:val="24"/>
          <w:szCs w:val="24"/>
        </w:rPr>
        <w:t xml:space="preserve"> – </w:t>
      </w:r>
      <w:r>
        <w:rPr>
          <w:sz w:val="24"/>
          <w:szCs w:val="24"/>
        </w:rPr>
        <w:t>22</w:t>
      </w:r>
      <w:r>
        <w:rPr>
          <w:b w:val="0"/>
          <w:sz w:val="24"/>
          <w:szCs w:val="24"/>
          <w:vertAlign w:val="superscript"/>
        </w:rPr>
        <w:t>nd</w:t>
      </w:r>
      <w:r w:rsidR="00363E1E">
        <w:rPr>
          <w:b w:val="0"/>
          <w:sz w:val="24"/>
          <w:szCs w:val="24"/>
        </w:rPr>
        <w:t xml:space="preserve"> </w:t>
      </w:r>
      <w:r>
        <w:rPr>
          <w:sz w:val="24"/>
          <w:szCs w:val="24"/>
        </w:rPr>
        <w:t>Nov</w:t>
      </w:r>
      <w:r w:rsidR="00363E1E" w:rsidRPr="009E4773">
        <w:rPr>
          <w:sz w:val="24"/>
          <w:szCs w:val="24"/>
        </w:rPr>
        <w:t xml:space="preserve"> </w:t>
      </w:r>
      <w:r w:rsidR="00363E1E">
        <w:rPr>
          <w:sz w:val="24"/>
          <w:szCs w:val="24"/>
        </w:rPr>
        <w:t>2019</w:t>
      </w:r>
      <w:r w:rsidR="00196248">
        <w:rPr>
          <w:sz w:val="24"/>
          <w:szCs w:val="24"/>
        </w:rPr>
        <w:t xml:space="preserve"> </w:t>
      </w:r>
      <w:r w:rsidR="00196248">
        <w:rPr>
          <w:sz w:val="24"/>
          <w:szCs w:val="24"/>
        </w:rPr>
        <w:tab/>
        <w:t>(Revision of R2-19</w:t>
      </w:r>
      <w:r>
        <w:rPr>
          <w:sz w:val="24"/>
          <w:szCs w:val="24"/>
        </w:rPr>
        <w:t>12457</w:t>
      </w:r>
      <w:r w:rsidR="00196248">
        <w:rPr>
          <w:sz w:val="24"/>
          <w:szCs w:val="24"/>
        </w:rPr>
        <w:t>)</w:t>
      </w:r>
      <w:r w:rsidR="00196248">
        <w:rPr>
          <w:sz w:val="24"/>
          <w:szCs w:val="24"/>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3FC2FE83"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.2.</w:t>
      </w:r>
      <w:r w:rsidR="00797D3D">
        <w:rPr>
          <w:b/>
          <w:noProof/>
          <w:sz w:val="24"/>
        </w:rPr>
        <w:t>2</w:t>
      </w:r>
      <w:r w:rsidR="00B80A6F">
        <w:rPr>
          <w:b/>
          <w:noProof/>
          <w:sz w:val="24"/>
        </w:rPr>
        <w:t>.</w:t>
      </w:r>
      <w:r w:rsidR="00797D3D">
        <w:rPr>
          <w:b/>
          <w:noProof/>
          <w:sz w:val="24"/>
        </w:rPr>
        <w:t>5</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5920E6C"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43138">
        <w:rPr>
          <w:b/>
          <w:noProof/>
          <w:sz w:val="24"/>
        </w:rPr>
        <w:t xml:space="preserve">On Restrictions in Multiplexing of High and Low Priority </w:t>
      </w:r>
      <w:r w:rsidR="002E37E3">
        <w:rPr>
          <w:b/>
          <w:noProof/>
          <w:sz w:val="24"/>
        </w:rPr>
        <w:t>CAPC</w:t>
      </w:r>
      <w:bookmarkStart w:id="2" w:name="_GoBack"/>
      <w:bookmarkEnd w:id="2"/>
      <w:r w:rsidR="00243138">
        <w:rPr>
          <w:b/>
          <w:noProof/>
          <w:sz w:val="24"/>
        </w:rPr>
        <w:t xml:space="preserve"> </w:t>
      </w:r>
      <w:r w:rsidR="00EF7666">
        <w:rPr>
          <w:b/>
          <w:noProof/>
          <w:sz w:val="24"/>
        </w:rPr>
        <w:t xml:space="preserve">in </w:t>
      </w:r>
      <w:r w:rsidR="004F1F89">
        <w:rPr>
          <w:b/>
          <w:noProof/>
          <w:sz w:val="24"/>
        </w:rPr>
        <w:t>CG</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4ABA2BFE" w14:textId="7D3B5914" w:rsidR="004D6D42" w:rsidRDefault="00243138" w:rsidP="00B44B6F">
      <w:r>
        <w:t>C</w:t>
      </w:r>
      <w:r w:rsidR="00E67357">
        <w:t xml:space="preserve">hannel </w:t>
      </w:r>
      <w:r>
        <w:t>A</w:t>
      </w:r>
      <w:r w:rsidR="00E67357">
        <w:t xml:space="preserve">ccess </w:t>
      </w:r>
      <w:r>
        <w:t>P</w:t>
      </w:r>
      <w:r w:rsidR="00E67357">
        <w:t xml:space="preserve">riority </w:t>
      </w:r>
      <w:r>
        <w:t>C</w:t>
      </w:r>
      <w:r w:rsidR="00E67357">
        <w:t xml:space="preserve">lass </w:t>
      </w:r>
      <w:r>
        <w:t>(CAPC) assignment and configurations were</w:t>
      </w:r>
      <w:r w:rsidR="00E67357">
        <w:t xml:space="preserve"> discussed during the SI phase and the following conclusions were reached.</w:t>
      </w:r>
    </w:p>
    <w:p w14:paraId="5D815136" w14:textId="5A9D96C5" w:rsidR="00E67357" w:rsidRPr="0066441F" w:rsidRDefault="00E67357" w:rsidP="00243138">
      <w:pPr>
        <w:pBdr>
          <w:top w:val="single" w:sz="4" w:space="1" w:color="auto"/>
          <w:left w:val="single" w:sz="4" w:space="4" w:color="auto"/>
          <w:bottom w:val="single" w:sz="4" w:space="1" w:color="auto"/>
          <w:right w:val="single" w:sz="4" w:space="0" w:color="auto"/>
        </w:pBdr>
        <w:spacing w:before="120"/>
      </w:pPr>
      <w:r w:rsidRPr="0066441F">
        <w:t>For channel access and transmissions in NR-U the mechanisms and associated signal</w:t>
      </w:r>
      <w:r w:rsidR="00243138">
        <w:t>l</w:t>
      </w:r>
      <w:r w:rsidRPr="0066441F">
        <w:t>ing adopted by LTE LAA (e.g. standardized QCI to access priority mapping for DL and UL, how access priority per logical channel is determined for scheduled UL and AUL transmissions etc</w:t>
      </w:r>
      <w:r w:rsidR="00243138">
        <w:t>.</w:t>
      </w:r>
      <w:r w:rsidRPr="0066441F">
        <w:t xml:space="preserve">) are used as </w:t>
      </w:r>
      <w:r>
        <w:t>the</w:t>
      </w:r>
      <w:r w:rsidRPr="0066441F">
        <w:t xml:space="preserve"> baseline. Any changes due to new physical layer design and channel access mechanisms for NR-U (e.g. introduction of PRACH, support of FBE) can also be introduced.</w:t>
      </w:r>
    </w:p>
    <w:p w14:paraId="45157A1B" w14:textId="2EFEE352" w:rsidR="00E67357" w:rsidRPr="006533AF" w:rsidRDefault="00E67357" w:rsidP="00243138">
      <w:pPr>
        <w:pBdr>
          <w:top w:val="single" w:sz="4" w:space="1" w:color="auto"/>
          <w:left w:val="single" w:sz="4" w:space="4" w:color="auto"/>
          <w:bottom w:val="single" w:sz="4" w:space="1" w:color="auto"/>
          <w:right w:val="single" w:sz="4" w:space="0" w:color="auto"/>
        </w:pBdr>
        <w:spacing w:before="120"/>
      </w:pPr>
      <w:r w:rsidRPr="0066441F">
        <w:t>In addition, access priority for control signal</w:t>
      </w:r>
      <w:r w:rsidR="00243138">
        <w:t>l</w:t>
      </w:r>
      <w:r w:rsidRPr="0066441F">
        <w:t>ing (transmissions over SRBs) over unlicensed carriers should be introduced for stand-alone and DC NR-U. In this case, it is assumed that control signa</w:t>
      </w:r>
      <w:r w:rsidR="00243138">
        <w:t>l</w:t>
      </w:r>
      <w:r w:rsidRPr="0066441F">
        <w:t xml:space="preserve">ling will have </w:t>
      </w:r>
      <w:r>
        <w:t xml:space="preserve">the </w:t>
      </w:r>
      <w:r w:rsidRPr="0066441F">
        <w:t>highe</w:t>
      </w:r>
      <w:r>
        <w:t>st</w:t>
      </w:r>
      <w:r w:rsidRPr="0066441F">
        <w:t xml:space="preserve"> </w:t>
      </w:r>
      <w:r>
        <w:t xml:space="preserve">access </w:t>
      </w:r>
      <w:r w:rsidRPr="0066441F">
        <w:t>priority.</w:t>
      </w:r>
    </w:p>
    <w:p w14:paraId="54CACBE6" w14:textId="77777777" w:rsidR="00243138" w:rsidRDefault="00243138" w:rsidP="00B44B6F"/>
    <w:p w14:paraId="03638760" w14:textId="14B1B8C8" w:rsidR="00243138" w:rsidRDefault="00243138" w:rsidP="00B44B6F">
      <w:r>
        <w:t xml:space="preserve">Moreover, in RAN2-106 </w:t>
      </w:r>
      <w:r w:rsidR="0085317D">
        <w:t xml:space="preserve">[1] </w:t>
      </w:r>
      <w:r>
        <w:t>meeting the following decisions regarding CAPC and bearer multiplexing are agreed upon:</w:t>
      </w:r>
    </w:p>
    <w:tbl>
      <w:tblPr>
        <w:tblStyle w:val="TableGrid"/>
        <w:tblW w:w="0" w:type="auto"/>
        <w:tblLook w:val="04A0" w:firstRow="1" w:lastRow="0" w:firstColumn="1" w:lastColumn="0" w:noHBand="0" w:noVBand="1"/>
      </w:tblPr>
      <w:tblGrid>
        <w:gridCol w:w="10456"/>
      </w:tblGrid>
      <w:tr w:rsidR="00243138" w14:paraId="5B89D383" w14:textId="77777777" w:rsidTr="00243138">
        <w:tc>
          <w:tcPr>
            <w:tcW w:w="10456" w:type="dxa"/>
          </w:tcPr>
          <w:p w14:paraId="57A95556" w14:textId="2649B87D" w:rsidR="00243138" w:rsidRPr="00243138" w:rsidRDefault="00243138" w:rsidP="00243138">
            <w:pPr>
              <w:rPr>
                <w:highlight w:val="yellow"/>
              </w:rPr>
            </w:pPr>
            <w:r w:rsidRPr="00243138">
              <w:rPr>
                <w:highlight w:val="yellow"/>
              </w:rPr>
              <w:t>- For UL CG, select the highest CAPC index (lowest priority) of LCHs multiplexed in a TB, as in LTE LAA (for WiFi coexistence)</w:t>
            </w:r>
          </w:p>
          <w:p w14:paraId="163BB576" w14:textId="2A9F3156" w:rsidR="00243138" w:rsidRDefault="00243138" w:rsidP="00243138">
            <w:r w:rsidRPr="00243138">
              <w:rPr>
                <w:highlight w:val="yellow"/>
              </w:rPr>
              <w:t>- For UL CG, FFS if it shall be possible to restrict data of which CAPC can be multiplexed into a TB with high priority data</w:t>
            </w:r>
          </w:p>
          <w:p w14:paraId="0BAD34F4" w14:textId="4DDC7044" w:rsidR="00243138" w:rsidRDefault="00243138" w:rsidP="00243138">
            <w:r>
              <w:t>- Email Discussion: [106#xx][NR-U] CAPC table (Nokia)</w:t>
            </w:r>
          </w:p>
          <w:p w14:paraId="0ED53A41" w14:textId="4CB22FD6" w:rsidR="00243138" w:rsidRDefault="00243138" w:rsidP="00243138">
            <w:pPr>
              <w:pStyle w:val="ListParagraph"/>
              <w:numPr>
                <w:ilvl w:val="0"/>
                <w:numId w:val="11"/>
              </w:numPr>
            </w:pPr>
            <w:r>
              <w:t xml:space="preserve">Intended outcome: Populate the CAPC table, taking into account proposals to R2#106. </w:t>
            </w:r>
          </w:p>
          <w:p w14:paraId="25287946" w14:textId="78E82335" w:rsidR="00243138" w:rsidRDefault="00243138" w:rsidP="00243138">
            <w:pPr>
              <w:pStyle w:val="ListParagraph"/>
              <w:numPr>
                <w:ilvl w:val="0"/>
                <w:numId w:val="11"/>
              </w:numPr>
            </w:pPr>
            <w:r>
              <w:t>Deadline:  Thursday 2019-08-08</w:t>
            </w:r>
          </w:p>
          <w:p w14:paraId="3FC3F48E" w14:textId="530DCCB2" w:rsidR="00243138" w:rsidRDefault="00243138" w:rsidP="00243138">
            <w:r>
              <w:t>- SRB0, 1, 3 have highest priority (lowest CAPC index), SRB2 configurable</w:t>
            </w:r>
          </w:p>
        </w:tc>
      </w:tr>
    </w:tbl>
    <w:p w14:paraId="71E52D19" w14:textId="77777777" w:rsidR="00243138" w:rsidRDefault="00243138" w:rsidP="00B44B6F"/>
    <w:p w14:paraId="5AC3A553" w14:textId="1FD8E93E" w:rsidR="00243138" w:rsidRDefault="00243138" w:rsidP="00B44B6F">
      <w:r>
        <w:t>Thus, based on the above agreements</w:t>
      </w:r>
      <w:r w:rsidR="00D22E95">
        <w:t xml:space="preserve"> it is clear that </w:t>
      </w:r>
      <w:r w:rsidR="00D22E95" w:rsidRPr="00D22E95">
        <w:t xml:space="preserve">such a </w:t>
      </w:r>
      <w:r w:rsidR="00D22E95">
        <w:t>CAPC assignment</w:t>
      </w:r>
      <w:r w:rsidR="00D22E95" w:rsidRPr="00D22E95">
        <w:t xml:space="preserve"> suffers from the fact that even if data from multiple high priority LCHs are multiplexed with a single low priority logical channel, the </w:t>
      </w:r>
      <w:r w:rsidR="00D22E95">
        <w:t>transport block (</w:t>
      </w:r>
      <w:r w:rsidR="00D22E95" w:rsidRPr="00D22E95">
        <w:t>TB</w:t>
      </w:r>
      <w:r w:rsidR="00D22E95">
        <w:t>),</w:t>
      </w:r>
      <w:r w:rsidR="00D22E95" w:rsidRPr="00D22E95">
        <w:t xml:space="preserve"> formed by the data across all the LCHs</w:t>
      </w:r>
      <w:r w:rsidR="00D22E95">
        <w:t>,</w:t>
      </w:r>
      <w:r w:rsidR="00D22E95" w:rsidRPr="00D22E95">
        <w:t xml:space="preserve"> will be assigned with the lowest priority. Thus, transmission of multiple high priority (e.g. real time) data</w:t>
      </w:r>
      <w:r w:rsidR="00D22E95">
        <w:t xml:space="preserve"> or signalling</w:t>
      </w:r>
      <w:r w:rsidR="00D22E95" w:rsidRPr="00D22E95">
        <w:t xml:space="preserve"> might suffer from additional latency, due to the assignment of lower priority. Hence, during the Rel. 16 discussions on NR-U, it has been agreed upon that for UL CG, further studies will be carried out to check if it is be possible to restrict data of which CAPC can be multiplexed into a TB with high priority data.</w:t>
      </w:r>
    </w:p>
    <w:p w14:paraId="491C1A24" w14:textId="52D511BF" w:rsidR="00E67357" w:rsidRDefault="00E67357" w:rsidP="00D22E95">
      <w:r>
        <w:t xml:space="preserve">In this contribution, </w:t>
      </w:r>
      <w:r w:rsidR="00D22E95" w:rsidRPr="00D22E95">
        <w:t>an approach that imposes restriction on multiplexing data belonging to a low Priority LCH with data belonging to a high priority LCH in CG, to enable faster transmission of high priority data</w:t>
      </w:r>
      <w:r>
        <w:t>.</w:t>
      </w:r>
    </w:p>
    <w:p w14:paraId="11D0F59E" w14:textId="460C7D30" w:rsidR="002627CF" w:rsidRPr="002627CF" w:rsidRDefault="000129F8" w:rsidP="000B305B">
      <w:pPr>
        <w:pStyle w:val="Heading1"/>
      </w:pPr>
      <w:r>
        <w:t>2</w:t>
      </w:r>
      <w:r w:rsidR="003651D2">
        <w:t xml:space="preserve"> </w:t>
      </w:r>
      <w:r w:rsidR="004202CF">
        <w:t>Discussion</w:t>
      </w:r>
    </w:p>
    <w:p w14:paraId="5E05BA8F" w14:textId="0D72FE66" w:rsidR="00720771" w:rsidRPr="00720771" w:rsidRDefault="00B12AAA" w:rsidP="00720771">
      <w:r>
        <w:t xml:space="preserve">In the case of LTE LAA </w:t>
      </w:r>
      <w:r>
        <w:fldChar w:fldCharType="begin"/>
      </w:r>
      <w:r>
        <w:instrText xml:space="preserve"> REF _Ref268964 \r \h </w:instrText>
      </w:r>
      <w:r>
        <w:fldChar w:fldCharType="separate"/>
      </w:r>
      <w:r w:rsidR="002B4AD1">
        <w:t>[</w:t>
      </w:r>
      <w:r w:rsidR="0085317D">
        <w:t>2</w:t>
      </w:r>
      <w:r w:rsidR="002B4AD1">
        <w:t>]</w:t>
      </w:r>
      <w:r>
        <w:fldChar w:fldCharType="end"/>
      </w:r>
      <w:r>
        <w:t xml:space="preserve">, a UE can transmit in the uplink by accessing an unlicensed carrier using either Type 1 or Type 2 UL channel access procedure. If Type 1 LBT is used, then the UE has to determine the channel access priority class (CAPC) to use for performing LBT. Table 4.2.1-1 of </w:t>
      </w:r>
      <w:r>
        <w:fldChar w:fldCharType="begin"/>
      </w:r>
      <w:r>
        <w:instrText xml:space="preserve"> REF _Ref268964 \r \h </w:instrText>
      </w:r>
      <w:r>
        <w:fldChar w:fldCharType="separate"/>
      </w:r>
      <w:r w:rsidR="002B4AD1">
        <w:t>[</w:t>
      </w:r>
      <w:r w:rsidR="0085317D">
        <w:t>2</w:t>
      </w:r>
      <w:r w:rsidR="002B4AD1">
        <w:t>]</w:t>
      </w:r>
      <w:r>
        <w:fldChar w:fldCharType="end"/>
      </w:r>
      <w:r>
        <w:t xml:space="preserve"> lists various LBT related access parameter values ass</w:t>
      </w:r>
      <w:r w:rsidR="00720771">
        <w:t xml:space="preserve">ociated with each value of CAPC, reproduced below as </w:t>
      </w:r>
      <w:r w:rsidR="00720771" w:rsidRPr="00720771">
        <w:fldChar w:fldCharType="begin"/>
      </w:r>
      <w:r w:rsidR="00720771" w:rsidRPr="00720771">
        <w:instrText xml:space="preserve"> REF _Ref269184 \h  \* MERGEFORMAT </w:instrText>
      </w:r>
      <w:r w:rsidR="00720771" w:rsidRPr="00720771">
        <w:fldChar w:fldCharType="separate"/>
      </w:r>
      <w:r w:rsidR="002B4AD1" w:rsidRPr="002B4AD1">
        <w:t xml:space="preserve">Table </w:t>
      </w:r>
      <w:r w:rsidR="002B4AD1" w:rsidRPr="002B4AD1">
        <w:rPr>
          <w:noProof/>
        </w:rPr>
        <w:t>1</w:t>
      </w:r>
      <w:r w:rsidR="00720771" w:rsidRPr="00720771">
        <w:fldChar w:fldCharType="end"/>
      </w:r>
      <w:r w:rsidR="00720771" w:rsidRPr="0072077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20771" w:rsidRPr="001A7C01" w14:paraId="7C6E63D6" w14:textId="77777777" w:rsidTr="0022628D">
        <w:trPr>
          <w:trHeight w:val="554"/>
          <w:jc w:val="center"/>
        </w:trPr>
        <w:tc>
          <w:tcPr>
            <w:tcW w:w="1371" w:type="dxa"/>
            <w:shd w:val="clear" w:color="auto" w:fill="E0E0E0"/>
            <w:vAlign w:val="center"/>
          </w:tcPr>
          <w:p w14:paraId="55466DC5" w14:textId="77777777" w:rsidR="00720771" w:rsidRPr="001A7C01" w:rsidRDefault="00720771" w:rsidP="0022628D">
            <w:pPr>
              <w:pStyle w:val="TAH"/>
            </w:pPr>
            <w:r w:rsidRPr="001A7C01">
              <w:lastRenderedPageBreak/>
              <w:t>Channel Access Priority Class (</w:t>
            </w:r>
            <w:r w:rsidRPr="001A7C01">
              <w:rPr>
                <w:position w:val="-10"/>
              </w:rPr>
              <w:object w:dxaOrig="240" w:dyaOrig="260" w14:anchorId="26043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634624046" r:id="rId9"/>
              </w:object>
            </w:r>
            <w:r w:rsidRPr="001A7C01">
              <w:t>)</w:t>
            </w:r>
          </w:p>
        </w:tc>
        <w:tc>
          <w:tcPr>
            <w:tcW w:w="630" w:type="dxa"/>
            <w:shd w:val="clear" w:color="auto" w:fill="E0E0E0"/>
            <w:vAlign w:val="center"/>
          </w:tcPr>
          <w:p w14:paraId="09EE0CCA" w14:textId="77777777" w:rsidR="00720771" w:rsidRPr="001A7C01" w:rsidRDefault="00720771" w:rsidP="0022628D">
            <w:pPr>
              <w:pStyle w:val="TAH"/>
            </w:pPr>
            <w:r w:rsidRPr="001A7C01">
              <w:rPr>
                <w:position w:val="-14"/>
              </w:rPr>
              <w:object w:dxaOrig="340" w:dyaOrig="380" w14:anchorId="0B22D9C9">
                <v:shape id="_x0000_i1026" type="#_x0000_t75" style="width:17.25pt;height:18.75pt" o:ole="">
                  <v:imagedata r:id="rId10" o:title=""/>
                </v:shape>
                <o:OLEObject Type="Embed" ProgID="Equation.3" ShapeID="_x0000_i1026" DrawAspect="Content" ObjectID="_1634624047" r:id="rId11"/>
              </w:object>
            </w:r>
          </w:p>
        </w:tc>
        <w:tc>
          <w:tcPr>
            <w:tcW w:w="990" w:type="dxa"/>
            <w:shd w:val="clear" w:color="auto" w:fill="E0E0E0"/>
            <w:vAlign w:val="center"/>
          </w:tcPr>
          <w:p w14:paraId="0C6D5C48" w14:textId="77777777" w:rsidR="00720771" w:rsidRPr="001A7C01" w:rsidRDefault="00720771" w:rsidP="0022628D">
            <w:pPr>
              <w:pStyle w:val="TAH"/>
            </w:pPr>
            <w:r w:rsidRPr="001A7C01">
              <w:rPr>
                <w:position w:val="-14"/>
              </w:rPr>
              <w:object w:dxaOrig="760" w:dyaOrig="380" w14:anchorId="5309ABC4">
                <v:shape id="_x0000_i1027" type="#_x0000_t75" style="width:38.25pt;height:19.5pt" o:ole="">
                  <v:imagedata r:id="rId12" o:title=""/>
                </v:shape>
                <o:OLEObject Type="Embed" ProgID="Equation.3" ShapeID="_x0000_i1027" DrawAspect="Content" ObjectID="_1634624048" r:id="rId13"/>
              </w:object>
            </w:r>
          </w:p>
        </w:tc>
        <w:tc>
          <w:tcPr>
            <w:tcW w:w="990" w:type="dxa"/>
            <w:shd w:val="clear" w:color="auto" w:fill="E0E0E0"/>
            <w:vAlign w:val="center"/>
          </w:tcPr>
          <w:p w14:paraId="5A79E0CA" w14:textId="77777777" w:rsidR="00720771" w:rsidRPr="001A7C01" w:rsidRDefault="00720771" w:rsidP="0022628D">
            <w:pPr>
              <w:pStyle w:val="TAH"/>
            </w:pPr>
            <w:r w:rsidRPr="001A7C01">
              <w:rPr>
                <w:position w:val="-14"/>
              </w:rPr>
              <w:object w:dxaOrig="800" w:dyaOrig="380" w14:anchorId="350F5D70">
                <v:shape id="_x0000_i1028" type="#_x0000_t75" style="width:40.5pt;height:18.75pt" o:ole="">
                  <v:imagedata r:id="rId14" o:title=""/>
                </v:shape>
                <o:OLEObject Type="Embed" ProgID="Equation.3" ShapeID="_x0000_i1028" DrawAspect="Content" ObjectID="_1634624049" r:id="rId15"/>
              </w:object>
            </w:r>
          </w:p>
        </w:tc>
        <w:tc>
          <w:tcPr>
            <w:tcW w:w="1890" w:type="dxa"/>
            <w:shd w:val="clear" w:color="auto" w:fill="E0E0E0"/>
            <w:vAlign w:val="center"/>
          </w:tcPr>
          <w:p w14:paraId="10B18CC9" w14:textId="77777777" w:rsidR="00720771" w:rsidRPr="001A7C01" w:rsidRDefault="00720771" w:rsidP="0022628D">
            <w:pPr>
              <w:pStyle w:val="TAH"/>
            </w:pPr>
            <w:r w:rsidRPr="001A7C01">
              <w:rPr>
                <w:position w:val="-14"/>
              </w:rPr>
              <w:object w:dxaOrig="720" w:dyaOrig="380" w14:anchorId="2980665C">
                <v:shape id="_x0000_i1029" type="#_x0000_t75" style="width:36.75pt;height:18.75pt" o:ole="">
                  <v:imagedata r:id="rId16" o:title=""/>
                </v:shape>
                <o:OLEObject Type="Embed" ProgID="Equation.3" ShapeID="_x0000_i1029" DrawAspect="Content" ObjectID="_1634624050" r:id="rId17"/>
              </w:object>
            </w:r>
          </w:p>
        </w:tc>
        <w:tc>
          <w:tcPr>
            <w:tcW w:w="2700" w:type="dxa"/>
            <w:shd w:val="clear" w:color="auto" w:fill="E0E0E0"/>
            <w:vAlign w:val="center"/>
          </w:tcPr>
          <w:p w14:paraId="0672C7FA" w14:textId="77777777" w:rsidR="00720771" w:rsidRPr="001A7C01" w:rsidRDefault="00720771" w:rsidP="0022628D">
            <w:pPr>
              <w:pStyle w:val="TAH"/>
            </w:pPr>
            <w:r w:rsidRPr="001A7C01">
              <w:t xml:space="preserve">allowed </w:t>
            </w:r>
            <w:r w:rsidRPr="001A7C01">
              <w:rPr>
                <w:position w:val="-14"/>
              </w:rPr>
              <w:object w:dxaOrig="520" w:dyaOrig="380" w14:anchorId="3DE394A4">
                <v:shape id="_x0000_i1030" type="#_x0000_t75" style="width:26.25pt;height:18.75pt" o:ole="">
                  <v:imagedata r:id="rId18" o:title=""/>
                </v:shape>
                <o:OLEObject Type="Embed" ProgID="Equation.3" ShapeID="_x0000_i1030" DrawAspect="Content" ObjectID="_1634624051" r:id="rId19"/>
              </w:object>
            </w:r>
            <w:r w:rsidRPr="001A7C01">
              <w:t>sizes</w:t>
            </w:r>
          </w:p>
        </w:tc>
      </w:tr>
      <w:tr w:rsidR="00720771" w:rsidRPr="001A7C01" w14:paraId="6E59E034" w14:textId="77777777" w:rsidTr="0022628D">
        <w:trPr>
          <w:trHeight w:val="376"/>
          <w:jc w:val="center"/>
        </w:trPr>
        <w:tc>
          <w:tcPr>
            <w:tcW w:w="1371" w:type="dxa"/>
            <w:shd w:val="clear" w:color="auto" w:fill="auto"/>
            <w:vAlign w:val="center"/>
          </w:tcPr>
          <w:p w14:paraId="31F8F46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6C5611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4D2AC6B6"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7D160AA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1890" w:type="dxa"/>
            <w:vAlign w:val="center"/>
          </w:tcPr>
          <w:p w14:paraId="51A3C75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13243033"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{3,7}</w:t>
            </w:r>
          </w:p>
        </w:tc>
      </w:tr>
      <w:tr w:rsidR="00720771" w:rsidRPr="001A7C01" w14:paraId="42B3558F" w14:textId="77777777" w:rsidTr="0022628D">
        <w:trPr>
          <w:trHeight w:val="376"/>
          <w:jc w:val="center"/>
        </w:trPr>
        <w:tc>
          <w:tcPr>
            <w:tcW w:w="1371" w:type="dxa"/>
            <w:shd w:val="clear" w:color="auto" w:fill="auto"/>
            <w:vAlign w:val="center"/>
          </w:tcPr>
          <w:p w14:paraId="08FB1644"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2391ED6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304DFCF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3AEF249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1890" w:type="dxa"/>
            <w:vAlign w:val="center"/>
          </w:tcPr>
          <w:p w14:paraId="035B94E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6B6CA99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{7,15}</w:t>
            </w:r>
          </w:p>
        </w:tc>
      </w:tr>
      <w:tr w:rsidR="00720771" w:rsidRPr="001A7C01" w14:paraId="2537ABCA" w14:textId="77777777" w:rsidTr="0022628D">
        <w:trPr>
          <w:trHeight w:val="376"/>
          <w:jc w:val="center"/>
        </w:trPr>
        <w:tc>
          <w:tcPr>
            <w:tcW w:w="1371" w:type="dxa"/>
            <w:shd w:val="clear" w:color="auto" w:fill="auto"/>
            <w:vAlign w:val="center"/>
          </w:tcPr>
          <w:p w14:paraId="74E615E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9E33FA5"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5E0D792D"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45EEA431"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F1DB46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619ED3F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22994027" w14:textId="77777777" w:rsidTr="0022628D">
        <w:trPr>
          <w:trHeight w:val="376"/>
          <w:jc w:val="center"/>
        </w:trPr>
        <w:tc>
          <w:tcPr>
            <w:tcW w:w="1371" w:type="dxa"/>
            <w:shd w:val="clear" w:color="auto" w:fill="auto"/>
            <w:vAlign w:val="center"/>
          </w:tcPr>
          <w:p w14:paraId="63C6292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442626B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06A8415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7FDFF1B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4D49A38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1D13FB3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540DCBA8" w14:textId="77777777" w:rsidTr="0022628D">
        <w:trPr>
          <w:trHeight w:val="376"/>
          <w:jc w:val="center"/>
        </w:trPr>
        <w:tc>
          <w:tcPr>
            <w:tcW w:w="8571" w:type="dxa"/>
            <w:gridSpan w:val="6"/>
            <w:shd w:val="clear" w:color="auto" w:fill="auto"/>
            <w:vAlign w:val="center"/>
          </w:tcPr>
          <w:p w14:paraId="6C3EE378" w14:textId="77777777" w:rsidR="00720771" w:rsidRPr="001A7C01" w:rsidRDefault="00720771" w:rsidP="0022628D">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w:r w:rsidRPr="001A7C01">
              <w:rPr>
                <w:position w:val="-10"/>
              </w:rPr>
              <w:object w:dxaOrig="760" w:dyaOrig="320" w14:anchorId="5ECA1A6A">
                <v:shape id="_x0000_i1031" type="#_x0000_t75" style="width:38.25pt;height:16.5pt" o:ole="">
                  <v:imagedata r:id="rId20" o:title=""/>
                </v:shape>
                <o:OLEObject Type="Embed" ProgID="Equation.3" ShapeID="_x0000_i1031" DrawAspect="Content" ObjectID="_1634624052" r:id="rId21"/>
              </w:object>
            </w:r>
            <w:r w:rsidRPr="001A7C01">
              <w:rPr>
                <w:rFonts w:ascii="Times New Roman" w:hAnsi="Times New Roman"/>
                <w:sz w:val="20"/>
              </w:rPr>
              <w:t xml:space="preserve">, </w:t>
            </w:r>
            <w:r w:rsidRPr="001A7C01">
              <w:rPr>
                <w:rFonts w:ascii="Times New Roman" w:hAnsi="Times New Roman"/>
                <w:position w:val="-14"/>
                <w:sz w:val="20"/>
              </w:rPr>
              <w:object w:dxaOrig="720" w:dyaOrig="380" w14:anchorId="0A642F40">
                <v:shape id="_x0000_i1032" type="#_x0000_t75" style="width:36.75pt;height:18.75pt" o:ole="">
                  <v:imagedata r:id="rId22" o:title=""/>
                </v:shape>
                <o:OLEObject Type="Embed" ProgID="Equation.3" ShapeID="_x0000_i1032" DrawAspect="Content" ObjectID="_1634624053" r:id="rId23"/>
              </w:object>
            </w:r>
            <w:r w:rsidRPr="001A7C01">
              <w:rPr>
                <w:rFonts w:ascii="Times New Roman" w:hAnsi="Times New Roman"/>
                <w:sz w:val="20"/>
                <w:lang w:val="en-US"/>
              </w:rPr>
              <w:t xml:space="preserve"> =10ms if the higher layer parameter '</w:t>
            </w:r>
            <w:r w:rsidRPr="001A7C01">
              <w:rPr>
                <w:rFonts w:ascii="Times New Roman" w:hAnsi="Times New Roman"/>
                <w:i/>
                <w:sz w:val="20"/>
                <w:lang w:val="en-US"/>
              </w:rPr>
              <w:t xml:space="preserve">absenceOfAnyOtherTechnology-r14' </w:t>
            </w:r>
            <w:r w:rsidRPr="001A7C01">
              <w:rPr>
                <w:rFonts w:ascii="Times New Roman" w:hAnsi="Times New Roman"/>
                <w:sz w:val="20"/>
                <w:lang w:val="en-US"/>
              </w:rPr>
              <w:t xml:space="preserve">indicates TRUE, otherwise, </w:t>
            </w:r>
            <w:r w:rsidRPr="001A7C01">
              <w:rPr>
                <w:rFonts w:ascii="Times New Roman" w:hAnsi="Times New Roman"/>
                <w:position w:val="-14"/>
                <w:sz w:val="20"/>
              </w:rPr>
              <w:object w:dxaOrig="720" w:dyaOrig="380" w14:anchorId="40755C74">
                <v:shape id="_x0000_i1033" type="#_x0000_t75" style="width:36.75pt;height:18.75pt" o:ole="">
                  <v:imagedata r:id="rId24" o:title=""/>
                </v:shape>
                <o:OLEObject Type="Embed" ProgID="Equation.3" ShapeID="_x0000_i1033" DrawAspect="Content" ObjectID="_1634624054" r:id="rId25"/>
              </w:object>
            </w:r>
            <w:r w:rsidRPr="001A7C01">
              <w:rPr>
                <w:rFonts w:ascii="Times New Roman" w:hAnsi="Times New Roman"/>
                <w:sz w:val="20"/>
                <w:lang w:val="en-US"/>
              </w:rPr>
              <w:t xml:space="preserve"> =6ms. </w:t>
            </w:r>
          </w:p>
          <w:p w14:paraId="43A9617D" w14:textId="77777777" w:rsidR="00720771" w:rsidRPr="001A7C01" w:rsidRDefault="00720771" w:rsidP="0022628D">
            <w:pPr>
              <w:rPr>
                <w:lang w:val="en-US"/>
              </w:rPr>
            </w:pPr>
            <w:r w:rsidRPr="001A7C01">
              <w:rPr>
                <w:lang w:val="en-AU"/>
              </w:rPr>
              <w:t xml:space="preserve">NOTE 2: When </w:t>
            </w:r>
            <w:r w:rsidRPr="001A7C01">
              <w:rPr>
                <w:position w:val="-14"/>
              </w:rPr>
              <w:object w:dxaOrig="720" w:dyaOrig="380" w14:anchorId="71689C70">
                <v:shape id="_x0000_i1034" type="#_x0000_t75" style="width:36.75pt;height:18.75pt" o:ole="">
                  <v:imagedata r:id="rId24" o:title=""/>
                </v:shape>
                <o:OLEObject Type="Embed" ProgID="Equation.3" ShapeID="_x0000_i1034" DrawAspect="Content" ObjectID="_1634624055" r:id="rId26"/>
              </w:object>
            </w:r>
            <w:r w:rsidRPr="001A7C01">
              <w:t xml:space="preserve">=6ms it </w:t>
            </w:r>
            <w:r w:rsidRPr="001A7C01">
              <w:rPr>
                <w:lang w:val="en-AU"/>
              </w:rPr>
              <w:t xml:space="preserve">may be increased to 8 ms by inserting one or more gaps. The minimum duration of a gap shall be 100 µs. The maximum duration before including any such gap shall be 6 ms. </w:t>
            </w:r>
          </w:p>
        </w:tc>
      </w:tr>
    </w:tbl>
    <w:p w14:paraId="5FCB180F" w14:textId="11642D30" w:rsidR="00720771" w:rsidRPr="00720771" w:rsidRDefault="00720771" w:rsidP="00720771">
      <w:pPr>
        <w:jc w:val="center"/>
        <w:rPr>
          <w:b/>
        </w:rPr>
      </w:pPr>
      <w:bookmarkStart w:id="3" w:name="_Ref269184"/>
      <w:r w:rsidRPr="00720771">
        <w:rPr>
          <w:b/>
        </w:rPr>
        <w:t xml:space="preserve">Table </w:t>
      </w:r>
      <w:r w:rsidRPr="00720771">
        <w:rPr>
          <w:b/>
        </w:rPr>
        <w:fldChar w:fldCharType="begin"/>
      </w:r>
      <w:r w:rsidRPr="00720771">
        <w:rPr>
          <w:b/>
        </w:rPr>
        <w:instrText xml:space="preserve"> SEQ Table \* ARABIC </w:instrText>
      </w:r>
      <w:r w:rsidRPr="00720771">
        <w:rPr>
          <w:b/>
        </w:rPr>
        <w:fldChar w:fldCharType="separate"/>
      </w:r>
      <w:r w:rsidR="002B4AD1">
        <w:rPr>
          <w:b/>
          <w:noProof/>
        </w:rPr>
        <w:t>1</w:t>
      </w:r>
      <w:r w:rsidRPr="00720771">
        <w:rPr>
          <w:b/>
        </w:rPr>
        <w:fldChar w:fldCharType="end"/>
      </w:r>
      <w:bookmarkEnd w:id="3"/>
      <w:r w:rsidRPr="00720771">
        <w:rPr>
          <w:b/>
        </w:rPr>
        <w:t>: Channel Access Priority Class for UL</w:t>
      </w:r>
    </w:p>
    <w:p w14:paraId="209775ED" w14:textId="77777777" w:rsidR="00B12AAA" w:rsidRDefault="00B12AAA" w:rsidP="00660E00"/>
    <w:p w14:paraId="5316AD1E" w14:textId="325BFA3E" w:rsidR="00D22E95" w:rsidRDefault="00D22E95" w:rsidP="00660E00">
      <w:r>
        <w:t>I</w:t>
      </w:r>
      <w:r w:rsidRPr="00D22E95">
        <w:t xml:space="preserve">t </w:t>
      </w:r>
      <w:r>
        <w:t>wa</w:t>
      </w:r>
      <w:r w:rsidRPr="00D22E95">
        <w:t>s decided in 3GPP Rel. 14 that for transport blocks (TBs) formed by data across multiple LCHs, the lowest priority CAPC (i.e. the highest index) will be selected to preserve fairness across WiFi nodes. Moreover, during standardization activities of NR-U, under the aegis of Rel. 16, it is decided that for UL CG, the highest CAPC index (lowest priority) of LCHs multiplexed in a TB will be selected as in LTE LAA (for WiFi coexistence).</w:t>
      </w:r>
    </w:p>
    <w:p w14:paraId="27FC44D9" w14:textId="77777777" w:rsidR="00D22E95" w:rsidRDefault="00D22E95" w:rsidP="00660E00"/>
    <w:p w14:paraId="7C1CAEEE" w14:textId="107803A2" w:rsidR="0044728C" w:rsidRPr="0044728C" w:rsidRDefault="0044728C" w:rsidP="00660E00">
      <w:pPr>
        <w:rPr>
          <w:b/>
        </w:rPr>
      </w:pPr>
      <w:r w:rsidRPr="0044728C">
        <w:rPr>
          <w:b/>
        </w:rPr>
        <w:t xml:space="preserve">Observation 1: </w:t>
      </w:r>
      <w:r w:rsidR="00D22E95">
        <w:rPr>
          <w:b/>
        </w:rPr>
        <w:t xml:space="preserve">Multiplexing data (or signal) belonging to LCHs, having high priority CAPC, with data (or signal) belonging to a LCH, </w:t>
      </w:r>
      <w:r w:rsidR="00B12AAA">
        <w:rPr>
          <w:b/>
        </w:rPr>
        <w:t xml:space="preserve">may result in undesirable outcomes with </w:t>
      </w:r>
      <w:r w:rsidR="00D22E95">
        <w:rPr>
          <w:b/>
        </w:rPr>
        <w:t>high priority</w:t>
      </w:r>
      <w:r w:rsidR="00B12AAA">
        <w:rPr>
          <w:b/>
        </w:rPr>
        <w:t xml:space="preserve"> </w:t>
      </w:r>
      <w:r w:rsidR="00D22E95">
        <w:rPr>
          <w:b/>
        </w:rPr>
        <w:t>data (or signal) assigned with a lower priority</w:t>
      </w:r>
      <w:r w:rsidRPr="0044728C">
        <w:rPr>
          <w:b/>
        </w:rPr>
        <w:t xml:space="preserve">.  </w:t>
      </w:r>
    </w:p>
    <w:p w14:paraId="0A0130AE" w14:textId="3693A47D" w:rsidR="00D22E95" w:rsidRDefault="0085317D" w:rsidP="00D22E95">
      <w:pPr>
        <w:rPr>
          <w:rFonts w:cs="Arial"/>
        </w:rPr>
      </w:pPr>
      <w:r>
        <w:t xml:space="preserve">Naturally, there needs to be some restriction on </w:t>
      </w:r>
      <w:r w:rsidR="00D22E95" w:rsidRPr="00D22E95">
        <w:rPr>
          <w:rFonts w:cs="Arial"/>
        </w:rPr>
        <w:t xml:space="preserve">multiplexing </w:t>
      </w:r>
      <w:r>
        <w:rPr>
          <w:rFonts w:cs="Arial"/>
        </w:rPr>
        <w:t xml:space="preserve">data belonging to </w:t>
      </w:r>
      <w:r w:rsidR="00D22E95" w:rsidRPr="00D22E95">
        <w:rPr>
          <w:rFonts w:cs="Arial"/>
        </w:rPr>
        <w:t xml:space="preserve">a </w:t>
      </w:r>
      <w:r>
        <w:rPr>
          <w:rFonts w:cs="Arial"/>
        </w:rPr>
        <w:t>high</w:t>
      </w:r>
      <w:r w:rsidR="00D22E95" w:rsidRPr="00D22E95">
        <w:rPr>
          <w:rFonts w:cs="Arial"/>
        </w:rPr>
        <w:t xml:space="preserve"> priority LCH with </w:t>
      </w:r>
      <w:r>
        <w:rPr>
          <w:rFonts w:cs="Arial"/>
        </w:rPr>
        <w:t xml:space="preserve">data belonging to </w:t>
      </w:r>
      <w:r w:rsidR="00D22E95" w:rsidRPr="00D22E95">
        <w:rPr>
          <w:rFonts w:cs="Arial"/>
        </w:rPr>
        <w:t xml:space="preserve">a </w:t>
      </w:r>
      <w:r>
        <w:rPr>
          <w:rFonts w:cs="Arial"/>
        </w:rPr>
        <w:t>low</w:t>
      </w:r>
      <w:r w:rsidR="00D22E95" w:rsidRPr="00D22E95">
        <w:rPr>
          <w:rFonts w:cs="Arial"/>
        </w:rPr>
        <w:t xml:space="preserve"> priority LCH in Configured Grants</w:t>
      </w:r>
      <w:r>
        <w:rPr>
          <w:rFonts w:cs="Arial"/>
        </w:rPr>
        <w:t>. We discuss this restriction, using two different approaches.</w:t>
      </w:r>
    </w:p>
    <w:p w14:paraId="6372EB75" w14:textId="7F866E81" w:rsidR="0085317D" w:rsidRPr="0085317D" w:rsidRDefault="0085317D" w:rsidP="00D22E95">
      <w:pPr>
        <w:rPr>
          <w:rFonts w:cs="Arial"/>
          <w:b/>
        </w:rPr>
      </w:pPr>
      <w:r w:rsidRPr="0085317D">
        <w:rPr>
          <w:rFonts w:cs="Arial"/>
          <w:b/>
        </w:rPr>
        <w:t xml:space="preserve">2.1 </w:t>
      </w:r>
      <w:r>
        <w:rPr>
          <w:rFonts w:cs="Arial"/>
          <w:b/>
        </w:rPr>
        <w:t xml:space="preserve">Option-1: </w:t>
      </w:r>
      <w:r w:rsidRPr="0085317D">
        <w:rPr>
          <w:rFonts w:cs="Arial"/>
          <w:b/>
        </w:rPr>
        <w:t>Restriction based on CAPC Threshold</w:t>
      </w:r>
    </w:p>
    <w:p w14:paraId="45248FC3" w14:textId="77777777" w:rsidR="0085317D" w:rsidRDefault="0085317D" w:rsidP="0085317D">
      <w:pPr>
        <w:pStyle w:val="ListParagraph"/>
        <w:widowControl w:val="0"/>
        <w:overflowPunct/>
        <w:autoSpaceDE/>
        <w:autoSpaceDN/>
        <w:adjustRightInd/>
        <w:spacing w:after="0"/>
        <w:ind w:left="360"/>
        <w:contextualSpacing w:val="0"/>
        <w:textAlignment w:val="auto"/>
        <w:rPr>
          <w:rFonts w:cs="Arial"/>
        </w:rPr>
      </w:pPr>
      <w:r>
        <w:rPr>
          <w:rFonts w:cs="Arial"/>
        </w:rPr>
        <w:t xml:space="preserve">In this approach </w:t>
      </w:r>
      <w:r w:rsidR="00D22E95" w:rsidRPr="00D22E95">
        <w:rPr>
          <w:rFonts w:cs="Arial"/>
        </w:rPr>
        <w:t>RRC defines a CAPC value, which acts as a threshold (</w:t>
      </w:r>
      <w:r w:rsidR="00D22E95" w:rsidRPr="00D22E95">
        <w:rPr>
          <w:rFonts w:cs="Arial"/>
          <w:i/>
        </w:rPr>
        <w:t>CAPC = Th</w:t>
      </w:r>
      <w:r w:rsidR="00D22E95" w:rsidRPr="00D22E95">
        <w:rPr>
          <w:rFonts w:cs="Arial"/>
        </w:rPr>
        <w:t>). If higher priority LCH has data available for transmission, data belonging to LCHs, having priority lower than the CAPC threshold, is not allowed to be multiplexed with the data of higher priority LCH. As lower values represent higher priorities, mathematically we can say that</w:t>
      </w:r>
      <w:r>
        <w:rPr>
          <w:rFonts w:cs="Arial"/>
        </w:rPr>
        <w:t>:</w:t>
      </w:r>
    </w:p>
    <w:p w14:paraId="599BD811" w14:textId="26AC0C93" w:rsidR="00D22E95" w:rsidRPr="00D22E95" w:rsidRDefault="00D22E95" w:rsidP="0085317D">
      <w:pPr>
        <w:pStyle w:val="ListParagraph"/>
        <w:widowControl w:val="0"/>
        <w:overflowPunct/>
        <w:autoSpaceDE/>
        <w:autoSpaceDN/>
        <w:adjustRightInd/>
        <w:spacing w:after="0"/>
        <w:ind w:left="360"/>
        <w:contextualSpacing w:val="0"/>
        <w:textAlignment w:val="auto"/>
        <w:rPr>
          <w:rFonts w:cs="Arial"/>
        </w:rPr>
      </w:pPr>
      <w:r w:rsidRPr="00D22E95">
        <w:rPr>
          <w:rFonts w:cs="Arial"/>
        </w:rPr>
        <w:t xml:space="preserve"> </w:t>
      </w:r>
    </w:p>
    <w:p w14:paraId="4ABCF3F8" w14:textId="4518027F" w:rsidR="00D22E95" w:rsidRPr="00D22E95" w:rsidRDefault="00BF169C" w:rsidP="00D22E95">
      <w:pPr>
        <w:pStyle w:val="ListParagraph"/>
        <w:ind w:left="360"/>
        <w:rPr>
          <w:rFonts w:cs="Arial"/>
        </w:rPr>
      </w:pPr>
      <m:oMath>
        <m:sSub>
          <m:sSubPr>
            <m:ctrlPr>
              <w:rPr>
                <w:rFonts w:ascii="Cambria Math" w:hAnsi="Cambria Math" w:cs="Arial"/>
                <w:i/>
              </w:rPr>
            </m:ctrlPr>
          </m:sSubPr>
          <m:e>
            <m:r>
              <w:rPr>
                <w:rFonts w:ascii="Cambria Math" w:hAnsi="Cambria Math" w:cs="Arial"/>
              </w:rPr>
              <m:t>data[LCH</m:t>
            </m:r>
          </m:e>
          <m:sub>
            <m:r>
              <w:rPr>
                <w:rFonts w:ascii="Cambria Math" w:hAnsi="Cambria Math" w:cs="Arial"/>
              </w:rPr>
              <m:t>CAPC=1</m:t>
            </m:r>
          </m:sub>
        </m:sSub>
        <m:r>
          <w:rPr>
            <w:rFonts w:ascii="Cambria Math" w:hAnsi="Cambria Math" w:cs="Arial"/>
          </w:rPr>
          <m:t xml:space="preserve">] ⨂ </m:t>
        </m:r>
        <m:sSub>
          <m:sSubPr>
            <m:ctrlPr>
              <w:rPr>
                <w:rFonts w:ascii="Cambria Math" w:hAnsi="Cambria Math" w:cs="Arial"/>
                <w:i/>
              </w:rPr>
            </m:ctrlPr>
          </m:sSubPr>
          <m:e>
            <m:r>
              <w:rPr>
                <w:rFonts w:ascii="Cambria Math" w:hAnsi="Cambria Math" w:cs="Arial"/>
              </w:rPr>
              <m:t>data[LCH</m:t>
            </m:r>
          </m:e>
          <m:sub>
            <m:r>
              <w:rPr>
                <w:rFonts w:ascii="Cambria Math" w:hAnsi="Cambria Math" w:cs="Arial"/>
              </w:rPr>
              <m:t>CAPC=2</m:t>
            </m:r>
          </m:sub>
        </m:sSub>
        <m:r>
          <w:rPr>
            <w:rFonts w:ascii="Cambria Math" w:hAnsi="Cambria Math" w:cs="Arial"/>
          </w:rPr>
          <m:t>]⨂…</m:t>
        </m:r>
      </m:oMath>
      <w:r w:rsidR="00D22E95" w:rsidRPr="00D22E95">
        <w:rPr>
          <w:rFonts w:cs="Arial"/>
        </w:rPr>
        <w:t xml:space="preserve"> </w:t>
      </w:r>
      <m:oMath>
        <m:sSub>
          <m:sSubPr>
            <m:ctrlPr>
              <w:rPr>
                <w:rFonts w:ascii="Cambria Math" w:hAnsi="Cambria Math" w:cs="Arial"/>
                <w:i/>
              </w:rPr>
            </m:ctrlPr>
          </m:sSubPr>
          <m:e>
            <m:r>
              <w:rPr>
                <w:rFonts w:ascii="Cambria Math" w:hAnsi="Cambria Math" w:cs="Arial"/>
              </w:rPr>
              <m:t>data[LCH</m:t>
            </m:r>
          </m:e>
          <m:sub>
            <m:r>
              <w:rPr>
                <w:rFonts w:ascii="Cambria Math" w:hAnsi="Cambria Math" w:cs="Arial"/>
              </w:rPr>
              <m:t>CAPC=i</m:t>
            </m:r>
          </m:sub>
        </m:sSub>
        <m:r>
          <w:rPr>
            <w:rFonts w:ascii="Cambria Math" w:hAnsi="Cambria Math" w:cs="Arial"/>
          </w:rPr>
          <m:t>], ∀i≤Th</m:t>
        </m:r>
      </m:oMath>
      <w:r w:rsidR="00D22E95" w:rsidRPr="00D22E95">
        <w:rPr>
          <w:rFonts w:cs="Arial"/>
        </w:rPr>
        <w:t xml:space="preserve">, where </w:t>
      </w:r>
      <m:oMath>
        <m:r>
          <w:rPr>
            <w:rFonts w:ascii="Cambria Math" w:hAnsi="Cambria Math" w:cs="Arial"/>
          </w:rPr>
          <m:t>⊗</m:t>
        </m:r>
      </m:oMath>
      <w:r w:rsidR="00D22E95" w:rsidRPr="00D22E95">
        <w:rPr>
          <w:rFonts w:cs="Arial"/>
        </w:rPr>
        <w:t xml:space="preserve"> represents multiplexing.</w:t>
      </w:r>
    </w:p>
    <w:p w14:paraId="1FAE5F30" w14:textId="77777777" w:rsidR="0085317D" w:rsidRDefault="0085317D" w:rsidP="00D22E95">
      <w:pPr>
        <w:pStyle w:val="ListParagraph"/>
        <w:ind w:left="360"/>
        <w:rPr>
          <w:rFonts w:cs="Arial"/>
        </w:rPr>
      </w:pPr>
    </w:p>
    <w:p w14:paraId="4DE84B3B" w14:textId="77777777" w:rsidR="00D22E95" w:rsidRPr="00D22E95" w:rsidRDefault="00D22E95" w:rsidP="00D22E95">
      <w:pPr>
        <w:pStyle w:val="ListParagraph"/>
        <w:ind w:left="360"/>
        <w:rPr>
          <w:rFonts w:cs="Arial"/>
        </w:rPr>
      </w:pPr>
      <w:r w:rsidRPr="00D22E95">
        <w:rPr>
          <w:rFonts w:cs="Arial"/>
        </w:rPr>
        <w:t>As an example, we can mention that if CAPC 2 is set as the threshold, then a CG containing LCHs mapped to CAPC 1 and CAPC 2 can be multiplexed together for transmission. Similarly, CG containing LCHs mapped to CAPC 3 and 4 can also be multiplexed. However, CG containing LCHs mapped to either CAPC 1 or CAPC 2 cannot be multiplexed with LCHs mapped to either CAPC 3 or CAPC 4. If data is available on any LCH mapped to CAPC 1 or 2, it will be sent in the next CG.</w:t>
      </w:r>
    </w:p>
    <w:p w14:paraId="0AD66C91" w14:textId="77777777" w:rsidR="0085317D" w:rsidRDefault="0085317D" w:rsidP="00D22E95">
      <w:pPr>
        <w:pStyle w:val="ListParagraph"/>
        <w:ind w:left="360"/>
        <w:rPr>
          <w:rFonts w:cs="Arial"/>
        </w:rPr>
      </w:pPr>
    </w:p>
    <w:p w14:paraId="56F526FD" w14:textId="77777777" w:rsidR="0085317D" w:rsidRDefault="0085317D" w:rsidP="0085317D">
      <w:pPr>
        <w:pStyle w:val="ListParagraph"/>
        <w:ind w:left="360"/>
        <w:rPr>
          <w:rFonts w:cs="Arial"/>
        </w:rPr>
      </w:pPr>
    </w:p>
    <w:p w14:paraId="15E5A0D0" w14:textId="68DEF425" w:rsidR="0085317D" w:rsidRPr="0085317D" w:rsidRDefault="0085317D" w:rsidP="0085317D">
      <w:pPr>
        <w:rPr>
          <w:rFonts w:cs="Arial"/>
          <w:b/>
        </w:rPr>
      </w:pPr>
      <w:r w:rsidRPr="0085317D">
        <w:rPr>
          <w:rFonts w:cs="Arial"/>
          <w:b/>
        </w:rPr>
        <w:t>2.</w:t>
      </w:r>
      <w:r>
        <w:rPr>
          <w:rFonts w:cs="Arial"/>
          <w:b/>
        </w:rPr>
        <w:t>2</w:t>
      </w:r>
      <w:r w:rsidRPr="0085317D">
        <w:rPr>
          <w:rFonts w:cs="Arial"/>
          <w:b/>
        </w:rPr>
        <w:t xml:space="preserve"> </w:t>
      </w:r>
      <w:r>
        <w:rPr>
          <w:rFonts w:cs="Arial"/>
          <w:b/>
        </w:rPr>
        <w:t>Option-2: Introducing Additional Flag to Indicate Lowering of CAPC</w:t>
      </w:r>
    </w:p>
    <w:p w14:paraId="4CF47D17" w14:textId="6C50B2BB" w:rsidR="00D22E95" w:rsidRPr="0085317D" w:rsidRDefault="00D22E95" w:rsidP="0085317D">
      <w:pPr>
        <w:pStyle w:val="ListParagraph"/>
        <w:ind w:left="360"/>
        <w:rPr>
          <w:rFonts w:cs="Arial"/>
        </w:rPr>
      </w:pPr>
      <w:r w:rsidRPr="00D22E95">
        <w:rPr>
          <w:rFonts w:cs="Arial"/>
        </w:rPr>
        <w:t xml:space="preserve"> </w:t>
      </w:r>
    </w:p>
    <w:p w14:paraId="537BE3E4" w14:textId="2CA11753" w:rsidR="00D22E95" w:rsidRDefault="00D22E95" w:rsidP="0085317D">
      <w:pPr>
        <w:pStyle w:val="ListParagraph"/>
        <w:widowControl w:val="0"/>
        <w:overflowPunct/>
        <w:autoSpaceDE/>
        <w:autoSpaceDN/>
        <w:adjustRightInd/>
        <w:spacing w:after="0"/>
        <w:ind w:left="360"/>
        <w:contextualSpacing w:val="0"/>
        <w:textAlignment w:val="auto"/>
        <w:rPr>
          <w:rFonts w:ascii="Times New Roman" w:hAnsi="Times New Roman"/>
        </w:rPr>
      </w:pPr>
      <w:r w:rsidRPr="00D22E95">
        <w:rPr>
          <w:rFonts w:cs="Arial"/>
        </w:rPr>
        <w:t xml:space="preserve">In </w:t>
      </w:r>
      <w:r w:rsidR="0085317D">
        <w:rPr>
          <w:rFonts w:cs="Arial"/>
        </w:rPr>
        <w:t>this approach</w:t>
      </w:r>
      <w:r w:rsidRPr="00D22E95">
        <w:rPr>
          <w:rFonts w:cs="Arial"/>
        </w:rPr>
        <w:t xml:space="preserve">, each CAPC </w:t>
      </w:r>
      <w:r w:rsidR="0085317D">
        <w:rPr>
          <w:rFonts w:cs="Arial"/>
        </w:rPr>
        <w:t>will</w:t>
      </w:r>
      <w:r w:rsidRPr="00D22E95">
        <w:rPr>
          <w:rFonts w:cs="Arial"/>
        </w:rPr>
        <w:t xml:space="preserve"> have an additional flag, indicating if that particular CAPC can be </w:t>
      </w:r>
      <w:r w:rsidR="0085317D">
        <w:rPr>
          <w:rFonts w:cs="Arial"/>
        </w:rPr>
        <w:t>lowered (</w:t>
      </w:r>
      <w:r w:rsidRPr="00D22E95">
        <w:rPr>
          <w:rFonts w:cs="Arial"/>
        </w:rPr>
        <w:t>reduced</w:t>
      </w:r>
      <w:r w:rsidR="0085317D">
        <w:rPr>
          <w:rFonts w:cs="Arial"/>
        </w:rPr>
        <w:t>)</w:t>
      </w:r>
      <w:r w:rsidRPr="00D22E95">
        <w:rPr>
          <w:rFonts w:cs="Arial"/>
        </w:rPr>
        <w:t xml:space="preserve"> or not. If data is available on a LCH, mapped to a CAPC, with flag indicating that its priority cannot be lowered, then any LCH mapped to lower priority CAPCs cannot be multiplexed with it.</w:t>
      </w:r>
      <w:r w:rsidR="0085317D">
        <w:rPr>
          <w:rFonts w:cs="Arial"/>
        </w:rPr>
        <w:t xml:space="preserve"> </w:t>
      </w:r>
      <w:r w:rsidRPr="00D22E95">
        <w:rPr>
          <w:rFonts w:cs="Arial"/>
        </w:rPr>
        <w:t xml:space="preserve">However, any data available in a LCH, </w:t>
      </w:r>
      <w:r w:rsidR="00E70854">
        <w:rPr>
          <w:rFonts w:cs="Arial"/>
        </w:rPr>
        <w:t>with</w:t>
      </w:r>
      <w:r w:rsidRPr="00D22E95">
        <w:rPr>
          <w:rFonts w:cs="Arial"/>
        </w:rPr>
        <w:t xml:space="preserve"> higher priority CAPC can be multiplexed, if the </w:t>
      </w:r>
      <w:r w:rsidR="00E70854">
        <w:rPr>
          <w:rFonts w:cs="Arial"/>
        </w:rPr>
        <w:t xml:space="preserve">corresponding </w:t>
      </w:r>
      <w:r w:rsidRPr="00D22E95">
        <w:rPr>
          <w:rFonts w:cs="Arial"/>
        </w:rPr>
        <w:t>LCHS with higher priority CAPC do</w:t>
      </w:r>
      <w:r w:rsidR="00E70854">
        <w:rPr>
          <w:rFonts w:cs="Arial"/>
        </w:rPr>
        <w:t>es not have the</w:t>
      </w:r>
      <w:r w:rsidRPr="00D22E95">
        <w:rPr>
          <w:rFonts w:cs="Arial"/>
        </w:rPr>
        <w:t xml:space="preserve"> flag set.</w:t>
      </w:r>
      <w:r w:rsidR="00E70854">
        <w:rPr>
          <w:rFonts w:cs="Arial"/>
        </w:rPr>
        <w:t xml:space="preserve"> The network can set or reset the flag, depending on the priority of the LCH and its QoS requirements.</w:t>
      </w:r>
    </w:p>
    <w:p w14:paraId="2B3421CB" w14:textId="77777777" w:rsidR="00D22E95" w:rsidRDefault="00D22E95" w:rsidP="00660E00">
      <w:pPr>
        <w:rPr>
          <w:b/>
        </w:rPr>
      </w:pPr>
    </w:p>
    <w:p w14:paraId="69D3A394" w14:textId="09F987CA" w:rsidR="00C20AED" w:rsidRDefault="0085317D" w:rsidP="00660E00">
      <w:pPr>
        <w:rPr>
          <w:b/>
        </w:rPr>
      </w:pPr>
      <w:r>
        <w:rPr>
          <w:b/>
        </w:rPr>
        <w:t xml:space="preserve">Proposal 1: RAN2 to discuss both the options and select either or both of them to impose restriction on forming a TB by multiplexing </w:t>
      </w:r>
      <w:r w:rsidRPr="0085317D">
        <w:rPr>
          <w:b/>
        </w:rPr>
        <w:t xml:space="preserve">data </w:t>
      </w:r>
      <w:r>
        <w:rPr>
          <w:b/>
        </w:rPr>
        <w:t xml:space="preserve">(or signal) </w:t>
      </w:r>
      <w:r w:rsidRPr="0085317D">
        <w:rPr>
          <w:b/>
        </w:rPr>
        <w:t xml:space="preserve">belonging to a high priority LCH with data </w:t>
      </w:r>
      <w:r>
        <w:rPr>
          <w:b/>
        </w:rPr>
        <w:t xml:space="preserve">(or signal) </w:t>
      </w:r>
      <w:r w:rsidRPr="0085317D">
        <w:rPr>
          <w:b/>
        </w:rPr>
        <w:t>belonging to a low priority LCH in C</w:t>
      </w:r>
      <w:r>
        <w:rPr>
          <w:b/>
        </w:rPr>
        <w:t>G.</w:t>
      </w:r>
    </w:p>
    <w:p w14:paraId="0A32CC19" w14:textId="4B26F5CD" w:rsidR="00E70854" w:rsidRPr="00E70854" w:rsidRDefault="00E70854" w:rsidP="00E70854">
      <w:pPr>
        <w:pStyle w:val="ListParagraph"/>
        <w:numPr>
          <w:ilvl w:val="0"/>
          <w:numId w:val="16"/>
        </w:numPr>
        <w:rPr>
          <w:b/>
        </w:rPr>
      </w:pPr>
      <w:r w:rsidRPr="00E70854">
        <w:rPr>
          <w:b/>
        </w:rPr>
        <w:lastRenderedPageBreak/>
        <w:t xml:space="preserve">Option-1: </w:t>
      </w:r>
      <w:r w:rsidRPr="00E70854">
        <w:rPr>
          <w:rFonts w:cs="Arial"/>
          <w:b/>
        </w:rPr>
        <w:t>RRC defines a CAPC value, which acts as a threshold. If higher priority LCH has data available for transmission, data belonging to LCHs, having priority lower than the CAPC threshold, is not allowed to be multiplexed with the data of higher priority LCH.</w:t>
      </w:r>
    </w:p>
    <w:p w14:paraId="00DC7811" w14:textId="77777777" w:rsidR="00E70854" w:rsidRPr="00E70854" w:rsidRDefault="00E70854" w:rsidP="00E70854">
      <w:pPr>
        <w:pStyle w:val="ListParagraph"/>
        <w:rPr>
          <w:b/>
        </w:rPr>
      </w:pPr>
    </w:p>
    <w:p w14:paraId="30B091F7" w14:textId="455ECB49" w:rsidR="00E70854" w:rsidRPr="00E70854" w:rsidRDefault="00E70854" w:rsidP="00E70854">
      <w:pPr>
        <w:pStyle w:val="ListParagraph"/>
        <w:numPr>
          <w:ilvl w:val="0"/>
          <w:numId w:val="16"/>
        </w:numPr>
        <w:rPr>
          <w:b/>
        </w:rPr>
      </w:pPr>
      <w:r w:rsidRPr="00E70854">
        <w:rPr>
          <w:b/>
        </w:rPr>
        <w:t>Option-</w:t>
      </w:r>
      <w:r>
        <w:rPr>
          <w:b/>
        </w:rPr>
        <w:t xml:space="preserve">2: </w:t>
      </w:r>
      <w:r w:rsidRPr="00E70854">
        <w:rPr>
          <w:b/>
        </w:rPr>
        <w:t>E</w:t>
      </w:r>
      <w:r w:rsidRPr="00E70854">
        <w:rPr>
          <w:rFonts w:cs="Arial"/>
          <w:b/>
        </w:rPr>
        <w:t>ach CAPC will have an additional flag, indicating if that particular CAPC can be lowered (reduced) or not. If data is available on a LCH, mapped to a CAPC, with flag indicating that its priority cannot be lowered, then any LCH mapped to lower priority CAPCs cannot be multiplexed with it. However, any data available in a LCH, with higher priority CAPC can be multiplexed, if the corresponding LCHS with higher priority CAPC does not have the flag set</w:t>
      </w:r>
      <w:r>
        <w:rPr>
          <w:rFonts w:cs="Arial"/>
          <w:b/>
        </w:rPr>
        <w:t>.</w:t>
      </w:r>
    </w:p>
    <w:p w14:paraId="72AF3428" w14:textId="77777777" w:rsidR="0085317D" w:rsidRPr="00C20AED" w:rsidRDefault="0085317D" w:rsidP="00660E00">
      <w:pPr>
        <w:rPr>
          <w:b/>
        </w:rPr>
      </w:pPr>
    </w:p>
    <w:p w14:paraId="32CC21C6" w14:textId="55403249" w:rsidR="00DF68E7" w:rsidRDefault="004202CF" w:rsidP="00287A26">
      <w:pPr>
        <w:pStyle w:val="Heading1"/>
      </w:pPr>
      <w:r>
        <w:t>3</w:t>
      </w:r>
      <w:r w:rsidR="00D76DB5">
        <w:t xml:space="preserve"> Conclusion</w:t>
      </w:r>
      <w:r w:rsidR="00F36682">
        <w:t>s</w:t>
      </w:r>
    </w:p>
    <w:p w14:paraId="24365E65" w14:textId="656A3D9D" w:rsidR="007D77A5" w:rsidRDefault="0085317D" w:rsidP="00511CE8">
      <w:r>
        <w:t xml:space="preserve">In this contribution, </w:t>
      </w:r>
      <w:r w:rsidRPr="00D22E95">
        <w:t>an approach that imposes restriction on multiplexing data belonging to a low Priority LCH with data belonging to a high priority LCH in CG, to enable faster transmission of high priority data</w:t>
      </w:r>
      <w:r w:rsidR="002D2E8C">
        <w:t>.</w:t>
      </w:r>
    </w:p>
    <w:p w14:paraId="0610EB33" w14:textId="77777777" w:rsidR="00E70854" w:rsidRPr="001F729B" w:rsidRDefault="00E70854" w:rsidP="00511CE8">
      <w:pPr>
        <w:rPr>
          <w:sz w:val="6"/>
        </w:rPr>
      </w:pPr>
    </w:p>
    <w:p w14:paraId="0C8A9010" w14:textId="7E580D10" w:rsidR="00E70854" w:rsidRPr="0044728C" w:rsidRDefault="00E70854" w:rsidP="00E70854">
      <w:pPr>
        <w:rPr>
          <w:b/>
        </w:rPr>
      </w:pPr>
      <w:r w:rsidRPr="0044728C">
        <w:rPr>
          <w:b/>
        </w:rPr>
        <w:t xml:space="preserve">Observation 1: </w:t>
      </w:r>
      <w:r>
        <w:rPr>
          <w:b/>
        </w:rPr>
        <w:t>Multiplexing data (or signal) belonging to LCHs, having high priority CAPC, with data (or signal) belonging to a LCH, may result in undesirable outcomes with high priority data (or signal) assigned with a lower priority</w:t>
      </w:r>
      <w:r w:rsidR="00310DC2">
        <w:rPr>
          <w:b/>
        </w:rPr>
        <w:t xml:space="preserve"> during transmission over CG</w:t>
      </w:r>
      <w:r w:rsidRPr="0044728C">
        <w:rPr>
          <w:b/>
        </w:rPr>
        <w:t xml:space="preserve">.  </w:t>
      </w:r>
    </w:p>
    <w:p w14:paraId="58A3DAD1" w14:textId="77777777" w:rsidR="00E70854" w:rsidRPr="001F729B" w:rsidRDefault="00E70854" w:rsidP="00E70854">
      <w:pPr>
        <w:rPr>
          <w:b/>
          <w:sz w:val="6"/>
        </w:rPr>
      </w:pPr>
    </w:p>
    <w:p w14:paraId="62935967" w14:textId="77777777" w:rsidR="00E70854" w:rsidRDefault="00E70854" w:rsidP="00E70854">
      <w:pPr>
        <w:rPr>
          <w:b/>
        </w:rPr>
      </w:pPr>
      <w:r>
        <w:rPr>
          <w:b/>
        </w:rPr>
        <w:t xml:space="preserve">Proposal 1: RAN2 to discuss both the options and select either or both of them to impose restriction on forming a TB by multiplexing </w:t>
      </w:r>
      <w:r w:rsidRPr="0085317D">
        <w:rPr>
          <w:b/>
        </w:rPr>
        <w:t xml:space="preserve">data </w:t>
      </w:r>
      <w:r>
        <w:rPr>
          <w:b/>
        </w:rPr>
        <w:t xml:space="preserve">(or signal) </w:t>
      </w:r>
      <w:r w:rsidRPr="0085317D">
        <w:rPr>
          <w:b/>
        </w:rPr>
        <w:t xml:space="preserve">belonging to a high priority LCH with data </w:t>
      </w:r>
      <w:r>
        <w:rPr>
          <w:b/>
        </w:rPr>
        <w:t xml:space="preserve">(or signal) </w:t>
      </w:r>
      <w:r w:rsidRPr="0085317D">
        <w:rPr>
          <w:b/>
        </w:rPr>
        <w:t>belonging to a low priority LCH in C</w:t>
      </w:r>
      <w:r>
        <w:rPr>
          <w:b/>
        </w:rPr>
        <w:t>G.</w:t>
      </w:r>
    </w:p>
    <w:p w14:paraId="49D9A719" w14:textId="77777777" w:rsidR="00E70854" w:rsidRPr="00E70854" w:rsidRDefault="00E70854" w:rsidP="00E70854">
      <w:pPr>
        <w:pStyle w:val="ListParagraph"/>
        <w:numPr>
          <w:ilvl w:val="0"/>
          <w:numId w:val="16"/>
        </w:numPr>
        <w:rPr>
          <w:b/>
        </w:rPr>
      </w:pPr>
      <w:r w:rsidRPr="00E70854">
        <w:rPr>
          <w:b/>
        </w:rPr>
        <w:t xml:space="preserve">Option-1: </w:t>
      </w:r>
      <w:r w:rsidRPr="00E70854">
        <w:rPr>
          <w:rFonts w:cs="Arial"/>
          <w:b/>
        </w:rPr>
        <w:t>RRC defines a CAPC value, which acts as a threshold. If higher priority LCH has data available for transmission, data belonging to LCHs, having priority lower than the CAPC threshold, is not allowed to be multiplexed with the data of higher priority LCH.</w:t>
      </w:r>
    </w:p>
    <w:p w14:paraId="3DEC4C63" w14:textId="77777777" w:rsidR="00E70854" w:rsidRPr="00E70854" w:rsidRDefault="00E70854" w:rsidP="00E70854">
      <w:pPr>
        <w:pStyle w:val="ListParagraph"/>
        <w:rPr>
          <w:b/>
        </w:rPr>
      </w:pPr>
    </w:p>
    <w:p w14:paraId="2D3B57CB" w14:textId="77777777" w:rsidR="00E70854" w:rsidRPr="00E70854" w:rsidRDefault="00E70854" w:rsidP="00E70854">
      <w:pPr>
        <w:pStyle w:val="ListParagraph"/>
        <w:numPr>
          <w:ilvl w:val="0"/>
          <w:numId w:val="16"/>
        </w:numPr>
        <w:rPr>
          <w:b/>
        </w:rPr>
      </w:pPr>
      <w:r w:rsidRPr="00E70854">
        <w:rPr>
          <w:b/>
        </w:rPr>
        <w:t>Option-</w:t>
      </w:r>
      <w:r>
        <w:rPr>
          <w:b/>
        </w:rPr>
        <w:t xml:space="preserve">2: </w:t>
      </w:r>
      <w:r w:rsidRPr="00E70854">
        <w:rPr>
          <w:b/>
        </w:rPr>
        <w:t>E</w:t>
      </w:r>
      <w:r w:rsidRPr="00E70854">
        <w:rPr>
          <w:rFonts w:cs="Arial"/>
          <w:b/>
        </w:rPr>
        <w:t>ach CAPC will have an additional flag, indicating if that particular CAPC can be lowered (reduced) or not. If data is available on a LCH, mapped to a CAPC, with flag indicating that its priority cannot be lowered, then any LCH mapped to lower priority CAPCs cannot be multiplexed with it. However, any data available in a LCH, with higher priority CAPC can be multiplexed, if the corresponding LCHS with higher priority CAPC does not have the flag set</w:t>
      </w:r>
      <w:r>
        <w:rPr>
          <w:rFonts w:cs="Arial"/>
          <w:b/>
        </w:rPr>
        <w:t>.</w:t>
      </w:r>
    </w:p>
    <w:p w14:paraId="3AC57D25" w14:textId="77777777" w:rsidR="00E70854" w:rsidRPr="001F729B" w:rsidRDefault="00E70854" w:rsidP="00511CE8">
      <w:pPr>
        <w:rPr>
          <w:sz w:val="4"/>
        </w:rPr>
      </w:pPr>
    </w:p>
    <w:p w14:paraId="4E445F4D" w14:textId="209F7064" w:rsidR="00DF68E7" w:rsidRPr="00DF68E7" w:rsidRDefault="004202CF" w:rsidP="00DF68E7">
      <w:pPr>
        <w:pStyle w:val="Heading1"/>
      </w:pPr>
      <w:r>
        <w:t>4</w:t>
      </w:r>
      <w:r w:rsidR="00DF68E7">
        <w:t xml:space="preserve"> References</w:t>
      </w:r>
    </w:p>
    <w:p w14:paraId="5FB3CD34" w14:textId="02B5D4CF" w:rsidR="0085317D" w:rsidRPr="0085317D" w:rsidRDefault="0085317D" w:rsidP="0085317D">
      <w:pPr>
        <w:pStyle w:val="ListParagraph"/>
        <w:numPr>
          <w:ilvl w:val="0"/>
          <w:numId w:val="1"/>
        </w:numPr>
        <w:rPr>
          <w:rFonts w:cs="Arial"/>
        </w:rPr>
      </w:pPr>
      <w:bookmarkStart w:id="4" w:name="_Ref192862"/>
      <w:bookmarkStart w:id="5" w:name="_Ref527448857"/>
      <w:bookmarkStart w:id="6" w:name="_Ref520125680"/>
      <w:r w:rsidRPr="0085317D">
        <w:rPr>
          <w:rFonts w:cs="Arial"/>
        </w:rPr>
        <w:t>DRAFT Breakout Session Notes NRUP IAB IIOT NR-U, 3GPP TSG-RAN WG2 Meeting #106</w:t>
      </w:r>
    </w:p>
    <w:p w14:paraId="4737550F" w14:textId="5840A552" w:rsidR="002B4AD1" w:rsidRDefault="002B4AD1" w:rsidP="007B1AE1">
      <w:pPr>
        <w:pStyle w:val="ListParagraph"/>
        <w:numPr>
          <w:ilvl w:val="0"/>
          <w:numId w:val="1"/>
        </w:numPr>
        <w:overflowPunct/>
        <w:autoSpaceDE/>
        <w:autoSpaceDN/>
        <w:adjustRightInd/>
        <w:spacing w:after="60"/>
        <w:contextualSpacing w:val="0"/>
        <w:textAlignment w:val="auto"/>
        <w:rPr>
          <w:rFonts w:cs="Arial"/>
        </w:rPr>
      </w:pPr>
      <w:bookmarkStart w:id="7" w:name="_Ref283471"/>
      <w:bookmarkEnd w:id="4"/>
      <w:r>
        <w:rPr>
          <w:rFonts w:cs="Arial"/>
        </w:rPr>
        <w:t>3GPP TS 36.300, E-UTRA and E-UTRAN, Overall description, Stage 2</w:t>
      </w:r>
      <w:bookmarkEnd w:id="7"/>
    </w:p>
    <w:bookmarkEnd w:id="5"/>
    <w:bookmarkEnd w:id="6"/>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27"/>
      <w:headerReference w:type="default" r:id="rId28"/>
      <w:footerReference w:type="even" r:id="rId29"/>
      <w:footerReference w:type="default" r:id="rId30"/>
      <w:headerReference w:type="first" r:id="rId31"/>
      <w:footerReference w:type="first" r:id="rId3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A9159" w14:textId="77777777" w:rsidR="00BF169C" w:rsidRDefault="00BF169C" w:rsidP="00BD754F">
      <w:pPr>
        <w:spacing w:after="0"/>
      </w:pPr>
      <w:r>
        <w:separator/>
      </w:r>
    </w:p>
  </w:endnote>
  <w:endnote w:type="continuationSeparator" w:id="0">
    <w:p w14:paraId="4A925676" w14:textId="77777777" w:rsidR="00BF169C" w:rsidRDefault="00BF169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6E286" w14:textId="77777777" w:rsidR="00BF169C" w:rsidRDefault="00BF169C" w:rsidP="00BD754F">
      <w:pPr>
        <w:spacing w:after="0"/>
      </w:pPr>
      <w:r>
        <w:separator/>
      </w:r>
    </w:p>
  </w:footnote>
  <w:footnote w:type="continuationSeparator" w:id="0">
    <w:p w14:paraId="23AB3901" w14:textId="77777777" w:rsidR="00BF169C" w:rsidRDefault="00BF169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4"/>
  </w:num>
  <w:num w:numId="3">
    <w:abstractNumId w:val="5"/>
  </w:num>
  <w:num w:numId="4">
    <w:abstractNumId w:val="6"/>
  </w:num>
  <w:num w:numId="5">
    <w:abstractNumId w:val="3"/>
  </w:num>
  <w:num w:numId="6">
    <w:abstractNumId w:val="8"/>
  </w:num>
  <w:num w:numId="7">
    <w:abstractNumId w:val="7"/>
  </w:num>
  <w:num w:numId="8">
    <w:abstractNumId w:val="12"/>
  </w:num>
  <w:num w:numId="9">
    <w:abstractNumId w:val="1"/>
  </w:num>
  <w:num w:numId="10">
    <w:abstractNumId w:val="10"/>
  </w:num>
  <w:num w:numId="11">
    <w:abstractNumId w:val="4"/>
  </w:num>
  <w:num w:numId="12">
    <w:abstractNumId w:val="2"/>
  </w:num>
  <w:num w:numId="13">
    <w:abstractNumId w:val="9"/>
  </w:num>
  <w:num w:numId="14">
    <w:abstractNumId w:val="15"/>
  </w:num>
  <w:num w:numId="15">
    <w:abstractNumId w:val="13"/>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6836"/>
    <w:rsid w:val="00007A4E"/>
    <w:rsid w:val="0001248E"/>
    <w:rsid w:val="000129F8"/>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4234"/>
    <w:rsid w:val="00065A6A"/>
    <w:rsid w:val="000675BC"/>
    <w:rsid w:val="00071FCC"/>
    <w:rsid w:val="0007366D"/>
    <w:rsid w:val="00073B0C"/>
    <w:rsid w:val="00073BD0"/>
    <w:rsid w:val="00075778"/>
    <w:rsid w:val="00075861"/>
    <w:rsid w:val="00081940"/>
    <w:rsid w:val="00083723"/>
    <w:rsid w:val="00085DEE"/>
    <w:rsid w:val="0008776B"/>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C3D"/>
    <w:rsid w:val="00177D8E"/>
    <w:rsid w:val="0018337C"/>
    <w:rsid w:val="00183824"/>
    <w:rsid w:val="00183C01"/>
    <w:rsid w:val="00186DF9"/>
    <w:rsid w:val="00190285"/>
    <w:rsid w:val="00192E61"/>
    <w:rsid w:val="001940E9"/>
    <w:rsid w:val="00196248"/>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138"/>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DC2"/>
    <w:rsid w:val="003113E7"/>
    <w:rsid w:val="00311810"/>
    <w:rsid w:val="00312695"/>
    <w:rsid w:val="003138D4"/>
    <w:rsid w:val="00314CD6"/>
    <w:rsid w:val="00315801"/>
    <w:rsid w:val="0031695B"/>
    <w:rsid w:val="00320C31"/>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630A"/>
    <w:rsid w:val="004F1F89"/>
    <w:rsid w:val="004F21E5"/>
    <w:rsid w:val="004F2212"/>
    <w:rsid w:val="004F44C5"/>
    <w:rsid w:val="004F466B"/>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3330"/>
    <w:rsid w:val="008140B0"/>
    <w:rsid w:val="00814577"/>
    <w:rsid w:val="00814C55"/>
    <w:rsid w:val="00815A39"/>
    <w:rsid w:val="00816062"/>
    <w:rsid w:val="00817344"/>
    <w:rsid w:val="00820897"/>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666"/>
    <w:rsid w:val="00EF7A42"/>
    <w:rsid w:val="00F00A05"/>
    <w:rsid w:val="00F0155E"/>
    <w:rsid w:val="00F01ED6"/>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948C8-9DF6-4965-B057-06D758D3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2019-02-14T01:59:00Z</dcterms:created>
  <dcterms:modified xsi:type="dcterms:W3CDTF">2019-11-07T17:28:00Z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